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882AD" w14:textId="77777777" w:rsidR="0023532F" w:rsidRDefault="0023532F">
      <w:pPr>
        <w:spacing w:after="0"/>
      </w:pPr>
    </w:p>
    <w:p w14:paraId="3FCA2C72" w14:textId="77777777" w:rsidR="0023532F" w:rsidRDefault="009B6877">
      <w:pPr>
        <w:spacing w:after="120" w:line="276" w:lineRule="auto"/>
        <w:jc w:val="center"/>
        <w:rPr>
          <w:rFonts w:ascii="Cambria" w:eastAsia="Cambria" w:hAnsi="Cambria" w:cs="Cambria"/>
          <w:b/>
          <w:color w:val="382986"/>
          <w:sz w:val="32"/>
          <w:szCs w:val="32"/>
        </w:rPr>
      </w:pPr>
      <w:r>
        <w:rPr>
          <w:rFonts w:ascii="Cambria" w:eastAsia="Cambria" w:hAnsi="Cambria" w:cs="Cambria"/>
          <w:b/>
          <w:noProof/>
          <w:color w:val="382986"/>
          <w:sz w:val="32"/>
          <w:szCs w:val="32"/>
        </w:rPr>
        <w:drawing>
          <wp:inline distT="114300" distB="114300" distL="114300" distR="114300" wp14:anchorId="463819B9" wp14:editId="713FB7B4">
            <wp:extent cx="826180" cy="82618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826180" cy="826180"/>
                    </a:xfrm>
                    <a:prstGeom prst="rect">
                      <a:avLst/>
                    </a:prstGeom>
                    <a:ln/>
                  </pic:spPr>
                </pic:pic>
              </a:graphicData>
            </a:graphic>
          </wp:inline>
        </w:drawing>
      </w:r>
      <w:r>
        <w:rPr>
          <w:rFonts w:ascii="Cambria" w:eastAsia="Cambria" w:hAnsi="Cambria" w:cs="Cambria"/>
          <w:b/>
          <w:noProof/>
          <w:color w:val="382986"/>
          <w:sz w:val="32"/>
          <w:szCs w:val="32"/>
        </w:rPr>
        <w:drawing>
          <wp:inline distT="114300" distB="114300" distL="114300" distR="114300" wp14:anchorId="34776B01" wp14:editId="6450CD84">
            <wp:extent cx="1290638" cy="8877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90638" cy="887780"/>
                    </a:xfrm>
                    <a:prstGeom prst="rect">
                      <a:avLst/>
                    </a:prstGeom>
                    <a:ln/>
                  </pic:spPr>
                </pic:pic>
              </a:graphicData>
            </a:graphic>
          </wp:inline>
        </w:drawing>
      </w:r>
      <w:r>
        <w:rPr>
          <w:rFonts w:ascii="Cambria" w:eastAsia="Cambria" w:hAnsi="Cambria" w:cs="Cambria"/>
          <w:b/>
          <w:noProof/>
          <w:color w:val="382986"/>
          <w:sz w:val="32"/>
          <w:szCs w:val="32"/>
        </w:rPr>
        <w:drawing>
          <wp:inline distT="114300" distB="114300" distL="114300" distR="114300" wp14:anchorId="0AE93E16" wp14:editId="30FF9282">
            <wp:extent cx="1453955" cy="57626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53955" cy="576263"/>
                    </a:xfrm>
                    <a:prstGeom prst="rect">
                      <a:avLst/>
                    </a:prstGeom>
                    <a:ln/>
                  </pic:spPr>
                </pic:pic>
              </a:graphicData>
            </a:graphic>
          </wp:inline>
        </w:drawing>
      </w:r>
      <w:r>
        <w:rPr>
          <w:rFonts w:ascii="Cambria" w:eastAsia="Cambria" w:hAnsi="Cambria" w:cs="Cambria"/>
          <w:b/>
          <w:noProof/>
          <w:color w:val="382986"/>
          <w:sz w:val="32"/>
          <w:szCs w:val="32"/>
        </w:rPr>
        <w:drawing>
          <wp:inline distT="114300" distB="114300" distL="114300" distR="114300" wp14:anchorId="57A447C3" wp14:editId="5461E911">
            <wp:extent cx="838200" cy="838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838200" cy="838200"/>
                    </a:xfrm>
                    <a:prstGeom prst="rect">
                      <a:avLst/>
                    </a:prstGeom>
                    <a:ln/>
                  </pic:spPr>
                </pic:pic>
              </a:graphicData>
            </a:graphic>
          </wp:inline>
        </w:drawing>
      </w:r>
    </w:p>
    <w:p w14:paraId="4A17E628" w14:textId="77777777" w:rsidR="0023532F" w:rsidRDefault="0023532F"/>
    <w:p w14:paraId="11E57715" w14:textId="77777777" w:rsidR="0023532F" w:rsidRDefault="009B6877">
      <w:pPr>
        <w:pStyle w:val="Heading3"/>
        <w:spacing w:before="0" w:after="120"/>
        <w:jc w:val="center"/>
        <w:rPr>
          <w:rFonts w:ascii="Cambria" w:eastAsia="Cambria" w:hAnsi="Cambria" w:cs="Cambria"/>
          <w:color w:val="382986"/>
          <w:sz w:val="32"/>
          <w:szCs w:val="32"/>
        </w:rPr>
      </w:pPr>
      <w:r>
        <w:rPr>
          <w:rFonts w:ascii="Cambria" w:eastAsia="Cambria" w:hAnsi="Cambria" w:cs="Cambria"/>
          <w:b/>
          <w:color w:val="382986"/>
          <w:sz w:val="32"/>
          <w:szCs w:val="32"/>
        </w:rPr>
        <w:t>Tobacco Taxation in Zambia</w:t>
      </w:r>
    </w:p>
    <w:p w14:paraId="2B161F58" w14:textId="77777777" w:rsidR="0023532F" w:rsidRDefault="009B6877">
      <w:pPr>
        <w:spacing w:after="240"/>
        <w:jc w:val="center"/>
        <w:rPr>
          <w:rFonts w:ascii="Cambria" w:eastAsia="Cambria" w:hAnsi="Cambria" w:cs="Cambria"/>
          <w:i/>
        </w:rPr>
      </w:pPr>
      <w:r>
        <w:rPr>
          <w:rFonts w:ascii="Cambria" w:eastAsia="Cambria" w:hAnsi="Cambria" w:cs="Cambria"/>
          <w:i/>
          <w:color w:val="1B1C1D"/>
        </w:rPr>
        <w:t>For Journalists and Civil Society Organisations</w:t>
      </w:r>
    </w:p>
    <w:p w14:paraId="0ABD4E16" w14:textId="77777777" w:rsidR="0023532F" w:rsidRDefault="009B6877">
      <w:pPr>
        <w:pStyle w:val="Heading4"/>
        <w:spacing w:before="0" w:after="120"/>
        <w:rPr>
          <w:rFonts w:ascii="Calibri" w:eastAsia="Calibri" w:hAnsi="Calibri" w:cs="Calibri"/>
          <w:b/>
          <w:i w:val="0"/>
          <w:color w:val="5769B2"/>
          <w:sz w:val="26"/>
          <w:szCs w:val="26"/>
        </w:rPr>
      </w:pPr>
      <w:r>
        <w:rPr>
          <w:rFonts w:ascii="Calibri" w:eastAsia="Calibri" w:hAnsi="Calibri" w:cs="Calibri"/>
          <w:b/>
          <w:i w:val="0"/>
          <w:color w:val="5769B2"/>
          <w:sz w:val="26"/>
          <w:szCs w:val="26"/>
        </w:rPr>
        <w:t>The Health Challenge and Tobacco Consumption in Zambia</w:t>
      </w:r>
    </w:p>
    <w:p w14:paraId="1B6950AD" w14:textId="77777777" w:rsidR="0023532F" w:rsidRDefault="009B6877">
      <w:pPr>
        <w:spacing w:after="120"/>
        <w:rPr>
          <w:rFonts w:ascii="Cambria" w:eastAsia="Cambria" w:hAnsi="Cambria" w:cs="Cambria"/>
          <w:sz w:val="22"/>
          <w:szCs w:val="22"/>
        </w:rPr>
      </w:pPr>
      <w:r>
        <w:rPr>
          <w:rFonts w:ascii="Cambria" w:eastAsia="Cambria" w:hAnsi="Cambria" w:cs="Cambria"/>
          <w:color w:val="1B1C1D"/>
          <w:sz w:val="22"/>
          <w:szCs w:val="22"/>
        </w:rPr>
        <w:t>Tobacco use is a significant public health challenge in Zambia, contributing to a rising burden of non-communicable diseases (NCDs) such as cardiovascular disease, cancer, and chronic respiratory disease. These diseases cause premature death and disability, placing a heavy strain on the Zambian healthcare system and national productivity.</w:t>
      </w:r>
    </w:p>
    <w:p w14:paraId="3248B68B" w14:textId="77777777" w:rsidR="0023532F" w:rsidRDefault="009B6877">
      <w:pPr>
        <w:numPr>
          <w:ilvl w:val="0"/>
          <w:numId w:val="3"/>
        </w:numPr>
        <w:pBdr>
          <w:top w:val="nil"/>
          <w:left w:val="nil"/>
          <w:bottom w:val="nil"/>
          <w:right w:val="nil"/>
          <w:between w:val="nil"/>
        </w:pBdr>
        <w:spacing w:before="240" w:after="0"/>
        <w:rPr>
          <w:rFonts w:ascii="Cambria" w:eastAsia="Cambria" w:hAnsi="Cambria" w:cs="Cambria"/>
          <w:color w:val="1B1C1D"/>
          <w:sz w:val="22"/>
          <w:szCs w:val="22"/>
        </w:rPr>
      </w:pPr>
      <w:r>
        <w:rPr>
          <w:rFonts w:ascii="Cambria" w:eastAsia="Cambria" w:hAnsi="Cambria" w:cs="Cambria"/>
          <w:color w:val="1B1C1D"/>
          <w:sz w:val="22"/>
          <w:szCs w:val="22"/>
        </w:rPr>
        <w:t xml:space="preserve">An estimated </w:t>
      </w:r>
      <w:r>
        <w:rPr>
          <w:rFonts w:ascii="Cambria" w:eastAsia="Cambria" w:hAnsi="Cambria" w:cs="Cambria"/>
          <w:b/>
          <w:color w:val="1B1C1D"/>
          <w:sz w:val="22"/>
          <w:szCs w:val="22"/>
        </w:rPr>
        <w:t>7,100 people are killed by tobacco-related diseases in Zambia each year</w:t>
      </w:r>
      <w:r>
        <w:rPr>
          <w:rFonts w:ascii="Cambria" w:eastAsia="Cambria" w:hAnsi="Cambria" w:cs="Cambria"/>
          <w:color w:val="1B1C1D"/>
          <w:sz w:val="22"/>
          <w:szCs w:val="22"/>
        </w:rPr>
        <w:t>.</w:t>
      </w:r>
    </w:p>
    <w:p w14:paraId="2A8FC717" w14:textId="77777777" w:rsidR="0023532F" w:rsidRDefault="009B6877">
      <w:pPr>
        <w:numPr>
          <w:ilvl w:val="0"/>
          <w:numId w:val="3"/>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color w:val="1B1C1D"/>
          <w:sz w:val="22"/>
          <w:szCs w:val="22"/>
        </w:rPr>
        <w:t xml:space="preserve">Approximately </w:t>
      </w:r>
      <w:r>
        <w:rPr>
          <w:rFonts w:ascii="Cambria" w:eastAsia="Cambria" w:hAnsi="Cambria" w:cs="Cambria"/>
          <w:b/>
          <w:color w:val="1B1C1D"/>
          <w:sz w:val="22"/>
          <w:szCs w:val="22"/>
        </w:rPr>
        <w:t>1.7 million adults in Zambia smoked in 2021</w:t>
      </w:r>
      <w:r>
        <w:rPr>
          <w:rFonts w:ascii="Cambria" w:eastAsia="Cambria" w:hAnsi="Cambria" w:cs="Cambria"/>
          <w:color w:val="1B1C1D"/>
          <w:sz w:val="22"/>
          <w:szCs w:val="22"/>
        </w:rPr>
        <w:t>, with a prevalence of 9.7%.</w:t>
      </w:r>
    </w:p>
    <w:p w14:paraId="68D599F7" w14:textId="77777777" w:rsidR="0023532F" w:rsidRDefault="009B6877">
      <w:pPr>
        <w:numPr>
          <w:ilvl w:val="0"/>
          <w:numId w:val="3"/>
        </w:numPr>
        <w:pBdr>
          <w:top w:val="nil"/>
          <w:left w:val="nil"/>
          <w:bottom w:val="nil"/>
          <w:right w:val="nil"/>
          <w:between w:val="nil"/>
        </w:pBdr>
        <w:spacing w:after="240"/>
        <w:rPr>
          <w:rFonts w:ascii="Cambria" w:eastAsia="Cambria" w:hAnsi="Cambria" w:cs="Cambria"/>
          <w:color w:val="1B1C1D"/>
          <w:sz w:val="22"/>
          <w:szCs w:val="22"/>
        </w:rPr>
      </w:pPr>
      <w:r>
        <w:rPr>
          <w:rFonts w:ascii="Cambria" w:eastAsia="Cambria" w:hAnsi="Cambria" w:cs="Cambria"/>
          <w:color w:val="1B1C1D"/>
          <w:sz w:val="22"/>
          <w:szCs w:val="22"/>
        </w:rPr>
        <w:t xml:space="preserve">Worryingly, </w:t>
      </w:r>
      <w:r>
        <w:rPr>
          <w:rFonts w:ascii="Cambria" w:eastAsia="Cambria" w:hAnsi="Cambria" w:cs="Cambria"/>
          <w:b/>
          <w:color w:val="1B1C1D"/>
          <w:sz w:val="22"/>
          <w:szCs w:val="22"/>
        </w:rPr>
        <w:t>25% of Zambian students aged 13-15 use tobacco</w:t>
      </w:r>
      <w:r>
        <w:rPr>
          <w:rFonts w:ascii="Cambria" w:eastAsia="Cambria" w:hAnsi="Cambria" w:cs="Cambria"/>
          <w:color w:val="1B1C1D"/>
          <w:sz w:val="22"/>
          <w:szCs w:val="22"/>
        </w:rPr>
        <w:t>, indicating a need for urgent action to protect young people.</w:t>
      </w:r>
    </w:p>
    <w:p w14:paraId="6580860D" w14:textId="77777777" w:rsidR="0023532F" w:rsidRDefault="009B6877">
      <w:pPr>
        <w:pStyle w:val="Heading4"/>
        <w:spacing w:before="0" w:after="120"/>
        <w:rPr>
          <w:rFonts w:ascii="Calibri" w:eastAsia="Calibri" w:hAnsi="Calibri" w:cs="Calibri"/>
          <w:i w:val="0"/>
          <w:color w:val="5769B2"/>
          <w:sz w:val="26"/>
          <w:szCs w:val="26"/>
        </w:rPr>
      </w:pPr>
      <w:r>
        <w:rPr>
          <w:rFonts w:ascii="Calibri" w:eastAsia="Calibri" w:hAnsi="Calibri" w:cs="Calibri"/>
          <w:b/>
          <w:i w:val="0"/>
          <w:color w:val="5769B2"/>
          <w:sz w:val="26"/>
          <w:szCs w:val="26"/>
        </w:rPr>
        <w:t>Tobacco Taxes, Revenue, and International Experience</w:t>
      </w:r>
    </w:p>
    <w:p w14:paraId="0EA37B17" w14:textId="77777777" w:rsidR="0023532F" w:rsidRDefault="009B6877">
      <w:pPr>
        <w:spacing w:after="120"/>
        <w:rPr>
          <w:rFonts w:ascii="Cambria" w:eastAsia="Cambria" w:hAnsi="Cambria" w:cs="Cambria"/>
          <w:sz w:val="22"/>
          <w:szCs w:val="22"/>
        </w:rPr>
      </w:pPr>
      <w:r>
        <w:rPr>
          <w:rFonts w:ascii="Cambria" w:eastAsia="Cambria" w:hAnsi="Cambria" w:cs="Cambria"/>
          <w:color w:val="1B1C1D"/>
          <w:sz w:val="22"/>
          <w:szCs w:val="22"/>
        </w:rPr>
        <w:t>Zambia’s current tobacco tax policies are not effectively curbing consumption or maximizing revenue potential.</w:t>
      </w:r>
    </w:p>
    <w:p w14:paraId="30B5D715" w14:textId="77777777" w:rsidR="0023532F" w:rsidRDefault="009B6877">
      <w:pPr>
        <w:numPr>
          <w:ilvl w:val="0"/>
          <w:numId w:val="4"/>
        </w:numPr>
        <w:pBdr>
          <w:top w:val="nil"/>
          <w:left w:val="nil"/>
          <w:bottom w:val="nil"/>
          <w:right w:val="nil"/>
          <w:between w:val="nil"/>
        </w:pBdr>
        <w:spacing w:before="240" w:after="0"/>
        <w:rPr>
          <w:rFonts w:ascii="Cambria" w:eastAsia="Cambria" w:hAnsi="Cambria" w:cs="Cambria"/>
          <w:color w:val="1B1C1D"/>
          <w:sz w:val="22"/>
          <w:szCs w:val="22"/>
        </w:rPr>
      </w:pPr>
      <w:r>
        <w:rPr>
          <w:rFonts w:ascii="Cambria" w:eastAsia="Cambria" w:hAnsi="Cambria" w:cs="Cambria"/>
          <w:b/>
          <w:color w:val="1B1C1D"/>
          <w:sz w:val="22"/>
          <w:szCs w:val="22"/>
        </w:rPr>
        <w:t>Current Tax Structure:</w:t>
      </w:r>
      <w:r>
        <w:rPr>
          <w:rFonts w:ascii="Cambria" w:eastAsia="Cambria" w:hAnsi="Cambria" w:cs="Cambria"/>
          <w:color w:val="1B1C1D"/>
          <w:sz w:val="22"/>
          <w:szCs w:val="22"/>
        </w:rPr>
        <w:t xml:space="preserve"> Zambia applies a tiered specific excise tax on cigarettes. Other tobacco products, such as loose-leaf tobacco, are largely untaxed, creating a significant loophole.</w:t>
      </w:r>
    </w:p>
    <w:p w14:paraId="4B08FD2C" w14:textId="77777777" w:rsidR="0023532F" w:rsidRDefault="009B6877">
      <w:pPr>
        <w:numPr>
          <w:ilvl w:val="0"/>
          <w:numId w:val="4"/>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b/>
          <w:color w:val="1B1C1D"/>
          <w:sz w:val="22"/>
          <w:szCs w:val="22"/>
        </w:rPr>
        <w:t>Revenue Impact:</w:t>
      </w:r>
      <w:r>
        <w:rPr>
          <w:rFonts w:ascii="Cambria" w:eastAsia="Cambria" w:hAnsi="Cambria" w:cs="Cambria"/>
          <w:color w:val="1B1C1D"/>
          <w:sz w:val="22"/>
          <w:szCs w:val="22"/>
        </w:rPr>
        <w:t xml:space="preserve"> The current estimated annual revenue from tobacco taxes is approximately </w:t>
      </w:r>
      <w:r>
        <w:rPr>
          <w:rFonts w:ascii="Cambria" w:eastAsia="Cambria" w:hAnsi="Cambria" w:cs="Cambria"/>
          <w:b/>
          <w:color w:val="1B1C1D"/>
          <w:sz w:val="22"/>
          <w:szCs w:val="22"/>
        </w:rPr>
        <w:t>ZMW 160 million</w:t>
      </w:r>
      <w:r>
        <w:rPr>
          <w:rFonts w:ascii="Cambria" w:eastAsia="Cambria" w:hAnsi="Cambria" w:cs="Cambria"/>
          <w:color w:val="1B1C1D"/>
          <w:sz w:val="22"/>
          <w:szCs w:val="22"/>
        </w:rPr>
        <w:t xml:space="preserve">. However, with an optimal tax rate and structure, Zambia could potentially generate </w:t>
      </w:r>
      <w:r>
        <w:rPr>
          <w:rFonts w:ascii="Cambria" w:eastAsia="Cambria" w:hAnsi="Cambria" w:cs="Cambria"/>
          <w:b/>
          <w:color w:val="1B1C1D"/>
          <w:sz w:val="22"/>
          <w:szCs w:val="22"/>
        </w:rPr>
        <w:t>over ZMW 2.3 bn annually</w:t>
      </w:r>
      <w:r>
        <w:rPr>
          <w:rFonts w:ascii="Cambria" w:eastAsia="Cambria" w:hAnsi="Cambria" w:cs="Cambria"/>
          <w:color w:val="1B1C1D"/>
          <w:sz w:val="22"/>
          <w:szCs w:val="22"/>
        </w:rPr>
        <w:t xml:space="preserve">. The preferential rate for domestic cigarettes alone costs the government an estimated </w:t>
      </w:r>
      <w:r>
        <w:rPr>
          <w:rFonts w:ascii="Cambria" w:eastAsia="Cambria" w:hAnsi="Cambria" w:cs="Cambria"/>
          <w:b/>
          <w:color w:val="1B1C1D"/>
          <w:sz w:val="22"/>
          <w:szCs w:val="22"/>
        </w:rPr>
        <w:t>ZMW 500 million per year</w:t>
      </w:r>
      <w:r>
        <w:rPr>
          <w:rFonts w:ascii="Cambria" w:eastAsia="Cambria" w:hAnsi="Cambria" w:cs="Cambria"/>
          <w:color w:val="1B1C1D"/>
          <w:sz w:val="22"/>
          <w:szCs w:val="22"/>
        </w:rPr>
        <w:t xml:space="preserve"> in lost revenue.</w:t>
      </w:r>
    </w:p>
    <w:p w14:paraId="32E551D5" w14:textId="77777777" w:rsidR="0023532F" w:rsidRDefault="009B6877">
      <w:pPr>
        <w:numPr>
          <w:ilvl w:val="0"/>
          <w:numId w:val="4"/>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b/>
          <w:color w:val="1B1C1D"/>
          <w:sz w:val="22"/>
          <w:szCs w:val="22"/>
        </w:rPr>
        <w:t>Proposed Tax Reforms:</w:t>
      </w:r>
      <w:r>
        <w:rPr>
          <w:rFonts w:ascii="Cambria" w:eastAsia="Cambria" w:hAnsi="Cambria" w:cs="Cambria"/>
          <w:color w:val="1B1C1D"/>
          <w:sz w:val="22"/>
          <w:szCs w:val="22"/>
        </w:rPr>
        <w:t xml:space="preserve"> The 2025 Supplementary Estimates propose to increase the specific excise duty rates on unmanufactured tobacco, cigars, cheroots, cigarillos, cigarettes, and other tobacco products to ZMW400 per kg or per ml from ZMW 361. While a step in the right direction, this is a modest increase.</w:t>
      </w:r>
    </w:p>
    <w:p w14:paraId="228131D8" w14:textId="77777777" w:rsidR="0023532F" w:rsidRDefault="009B6877">
      <w:pPr>
        <w:numPr>
          <w:ilvl w:val="0"/>
          <w:numId w:val="4"/>
        </w:numPr>
        <w:pBdr>
          <w:top w:val="nil"/>
          <w:left w:val="nil"/>
          <w:bottom w:val="nil"/>
          <w:right w:val="nil"/>
          <w:between w:val="nil"/>
        </w:pBdr>
        <w:spacing w:after="240"/>
        <w:rPr>
          <w:rFonts w:ascii="Cambria" w:eastAsia="Cambria" w:hAnsi="Cambria" w:cs="Cambria"/>
          <w:color w:val="1B1C1D"/>
          <w:sz w:val="22"/>
          <w:szCs w:val="22"/>
        </w:rPr>
      </w:pPr>
      <w:r>
        <w:rPr>
          <w:rFonts w:ascii="Cambria" w:eastAsia="Cambria" w:hAnsi="Cambria" w:cs="Cambria"/>
          <w:b/>
          <w:color w:val="1B1C1D"/>
          <w:sz w:val="22"/>
          <w:szCs w:val="22"/>
        </w:rPr>
        <w:t>International Experience:</w:t>
      </w:r>
      <w:r>
        <w:rPr>
          <w:rFonts w:ascii="Cambria" w:eastAsia="Cambria" w:hAnsi="Cambria" w:cs="Cambria"/>
          <w:color w:val="1B1C1D"/>
          <w:sz w:val="22"/>
          <w:szCs w:val="22"/>
        </w:rPr>
        <w:t xml:space="preserve"> Countries like the </w:t>
      </w:r>
      <w:r>
        <w:rPr>
          <w:rFonts w:ascii="Cambria" w:eastAsia="Cambria" w:hAnsi="Cambria" w:cs="Cambria"/>
          <w:b/>
          <w:color w:val="1B1C1D"/>
          <w:sz w:val="22"/>
          <w:szCs w:val="22"/>
        </w:rPr>
        <w:t>Philippines</w:t>
      </w:r>
      <w:r>
        <w:rPr>
          <w:rFonts w:ascii="Cambria" w:eastAsia="Cambria" w:hAnsi="Cambria" w:cs="Cambria"/>
          <w:color w:val="1B1C1D"/>
          <w:sz w:val="22"/>
          <w:szCs w:val="22"/>
        </w:rPr>
        <w:t xml:space="preserve"> and </w:t>
      </w:r>
      <w:r>
        <w:rPr>
          <w:rFonts w:ascii="Cambria" w:eastAsia="Cambria" w:hAnsi="Cambria" w:cs="Cambria"/>
          <w:b/>
          <w:color w:val="1B1C1D"/>
          <w:sz w:val="22"/>
          <w:szCs w:val="22"/>
        </w:rPr>
        <w:t>South Africa</w:t>
      </w:r>
      <w:r>
        <w:rPr>
          <w:rFonts w:ascii="Cambria" w:eastAsia="Cambria" w:hAnsi="Cambria" w:cs="Cambria"/>
          <w:color w:val="1B1C1D"/>
          <w:sz w:val="22"/>
          <w:szCs w:val="22"/>
        </w:rPr>
        <w:t xml:space="preserve"> have demonstrated that significant increases in tobacco taxes lead to both substantial reductions in smoking rates and dramatic increases in government revenue. The Philippines, for instance, raised over US$6.6 billion in 2020 from "sin taxes" which were </w:t>
      </w:r>
      <w:r>
        <w:rPr>
          <w:rFonts w:ascii="Cambria" w:eastAsia="Cambria" w:hAnsi="Cambria" w:cs="Cambria"/>
          <w:color w:val="1B1C1D"/>
          <w:sz w:val="22"/>
          <w:szCs w:val="22"/>
        </w:rPr>
        <w:lastRenderedPageBreak/>
        <w:t>earmarked for universal health coverage. These examples show that well-designed tobacco taxes are a "win-win" for public health and national budgets.</w:t>
      </w:r>
    </w:p>
    <w:p w14:paraId="516200A9" w14:textId="77777777" w:rsidR="0023532F" w:rsidRDefault="009B6877">
      <w:pPr>
        <w:pStyle w:val="Heading4"/>
        <w:spacing w:before="0" w:after="120"/>
        <w:rPr>
          <w:rFonts w:ascii="Calibri" w:eastAsia="Calibri" w:hAnsi="Calibri" w:cs="Calibri"/>
          <w:i w:val="0"/>
          <w:color w:val="5769B2"/>
          <w:sz w:val="26"/>
          <w:szCs w:val="26"/>
        </w:rPr>
      </w:pPr>
      <w:r>
        <w:rPr>
          <w:rFonts w:ascii="Calibri" w:eastAsia="Calibri" w:hAnsi="Calibri" w:cs="Calibri"/>
          <w:b/>
          <w:i w:val="0"/>
          <w:color w:val="5769B2"/>
          <w:sz w:val="26"/>
          <w:szCs w:val="26"/>
        </w:rPr>
        <w:t>Special Economic Zones (SEZs) and Tax Loopholes</w:t>
      </w:r>
    </w:p>
    <w:p w14:paraId="37C04164" w14:textId="77777777" w:rsidR="0023532F" w:rsidRDefault="009B6877">
      <w:pPr>
        <w:spacing w:after="240"/>
        <w:rPr>
          <w:rFonts w:ascii="Cambria" w:eastAsia="Cambria" w:hAnsi="Cambria" w:cs="Cambria"/>
          <w:color w:val="1B1C1D"/>
          <w:sz w:val="22"/>
          <w:szCs w:val="22"/>
        </w:rPr>
      </w:pPr>
      <w:r>
        <w:rPr>
          <w:rFonts w:ascii="Cambria" w:eastAsia="Cambria" w:hAnsi="Cambria" w:cs="Cambria"/>
          <w:color w:val="1B1C1D"/>
          <w:sz w:val="22"/>
          <w:szCs w:val="22"/>
        </w:rPr>
        <w:t>Special Economic Zones (SEZs) in Zambia offer a range of tax incentives to attract investment. While intended to boost economic growth, these zones can create loopholes that the tobacco industry can exploit to minimize their tax obligations. As an example, British American Tobacco has a presence in the Lusaka South Multi-Facility Economic Zone (LSMFEZ) and could potentially evade the increased excise taxes as a result.</w:t>
      </w:r>
    </w:p>
    <w:p w14:paraId="659965AE" w14:textId="77777777" w:rsidR="0023532F" w:rsidRDefault="009B6877">
      <w:pPr>
        <w:spacing w:after="240"/>
        <w:rPr>
          <w:rFonts w:ascii="Cambria" w:eastAsia="Cambria" w:hAnsi="Cambria" w:cs="Cambria"/>
          <w:sz w:val="22"/>
          <w:szCs w:val="22"/>
        </w:rPr>
      </w:pPr>
      <w:r>
        <w:rPr>
          <w:rFonts w:ascii="Cambria" w:eastAsia="Cambria" w:hAnsi="Cambria" w:cs="Cambria"/>
          <w:color w:val="1B1C1D"/>
          <w:sz w:val="22"/>
          <w:szCs w:val="22"/>
        </w:rPr>
        <w:t>The specific tax incentives offered in Zambian SEZs include reduced corporate income tax rates and accelerated depreciation allowances. While some countries, like South Africa, explicitly exclude tobacco manufacturing from SEZ tax incentives, it is crucial for Zambia to ensure that tobacco companies operating within its SEZs are not benefiting from preferential tax treatment that undermines public health goals. Closing any such loopholes is essential to ensure that all tobacco products are appropriately tax</w:t>
      </w:r>
      <w:r>
        <w:rPr>
          <w:rFonts w:ascii="Cambria" w:eastAsia="Cambria" w:hAnsi="Cambria" w:cs="Cambria"/>
          <w:color w:val="1B1C1D"/>
          <w:sz w:val="22"/>
          <w:szCs w:val="22"/>
        </w:rPr>
        <w:t>ed, regardless of where they are produced.</w:t>
      </w:r>
    </w:p>
    <w:p w14:paraId="48DEA192" w14:textId="77777777" w:rsidR="0023532F" w:rsidRDefault="009B6877">
      <w:pPr>
        <w:pStyle w:val="Heading4"/>
        <w:spacing w:before="0" w:after="120"/>
        <w:rPr>
          <w:rFonts w:ascii="Calibri" w:eastAsia="Calibri" w:hAnsi="Calibri" w:cs="Calibri"/>
          <w:i w:val="0"/>
          <w:color w:val="5769B2"/>
          <w:sz w:val="26"/>
          <w:szCs w:val="26"/>
        </w:rPr>
      </w:pPr>
      <w:r>
        <w:rPr>
          <w:rFonts w:ascii="Calibri" w:eastAsia="Calibri" w:hAnsi="Calibri" w:cs="Calibri"/>
          <w:b/>
          <w:i w:val="0"/>
          <w:color w:val="5769B2"/>
          <w:sz w:val="26"/>
          <w:szCs w:val="26"/>
        </w:rPr>
        <w:t>The Issue of Loose-Leaf vs. Cigarettes</w:t>
      </w:r>
    </w:p>
    <w:p w14:paraId="1FE94452" w14:textId="77777777" w:rsidR="0023532F" w:rsidRDefault="009B6877">
      <w:pPr>
        <w:spacing w:after="120"/>
        <w:rPr>
          <w:rFonts w:ascii="Cambria" w:eastAsia="Cambria" w:hAnsi="Cambria" w:cs="Cambria"/>
          <w:sz w:val="22"/>
          <w:szCs w:val="22"/>
        </w:rPr>
      </w:pPr>
      <w:r>
        <w:rPr>
          <w:rFonts w:ascii="Cambria" w:eastAsia="Cambria" w:hAnsi="Cambria" w:cs="Cambria"/>
          <w:color w:val="1B1C1D"/>
          <w:sz w:val="22"/>
          <w:szCs w:val="22"/>
        </w:rPr>
        <w:t>A significant challenge in Zambia is the widespread availability and use of untaxed loose-leaf tobacco.</w:t>
      </w:r>
    </w:p>
    <w:p w14:paraId="52EEAEF1" w14:textId="77777777" w:rsidR="0023532F" w:rsidRDefault="009B6877">
      <w:pPr>
        <w:numPr>
          <w:ilvl w:val="0"/>
          <w:numId w:val="2"/>
        </w:numPr>
        <w:pBdr>
          <w:top w:val="nil"/>
          <w:left w:val="nil"/>
          <w:bottom w:val="nil"/>
          <w:right w:val="nil"/>
          <w:between w:val="nil"/>
        </w:pBdr>
        <w:spacing w:before="240" w:after="0"/>
        <w:rPr>
          <w:rFonts w:ascii="Cambria" w:eastAsia="Cambria" w:hAnsi="Cambria" w:cs="Cambria"/>
          <w:color w:val="1B1C1D"/>
          <w:sz w:val="22"/>
          <w:szCs w:val="22"/>
        </w:rPr>
      </w:pPr>
      <w:r>
        <w:rPr>
          <w:rFonts w:ascii="Cambria" w:eastAsia="Cambria" w:hAnsi="Cambria" w:cs="Cambria"/>
          <w:color w:val="1B1C1D"/>
          <w:sz w:val="22"/>
          <w:szCs w:val="22"/>
        </w:rPr>
        <w:t xml:space="preserve">An estimated </w:t>
      </w:r>
      <w:r>
        <w:rPr>
          <w:rFonts w:ascii="Cambria" w:eastAsia="Cambria" w:hAnsi="Cambria" w:cs="Cambria"/>
          <w:b/>
          <w:color w:val="1B1C1D"/>
          <w:sz w:val="22"/>
          <w:szCs w:val="22"/>
        </w:rPr>
        <w:t>40% of smoked tobacco in Zambia is loose-leaf</w:t>
      </w:r>
      <w:r>
        <w:rPr>
          <w:rFonts w:ascii="Cambria" w:eastAsia="Cambria" w:hAnsi="Cambria" w:cs="Cambria"/>
          <w:color w:val="1B1C1D"/>
          <w:sz w:val="22"/>
          <w:szCs w:val="22"/>
        </w:rPr>
        <w:t>.</w:t>
      </w:r>
    </w:p>
    <w:p w14:paraId="29BA3363" w14:textId="77777777" w:rsidR="0023532F" w:rsidRDefault="009B6877">
      <w:pPr>
        <w:numPr>
          <w:ilvl w:val="0"/>
          <w:numId w:val="2"/>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color w:val="1B1C1D"/>
          <w:sz w:val="22"/>
          <w:szCs w:val="22"/>
        </w:rPr>
        <w:t>Loose tobacco is sold cheaply in markets across the country, often to children, with no health warnings or tax stamps.</w:t>
      </w:r>
    </w:p>
    <w:p w14:paraId="67521CA7" w14:textId="77777777" w:rsidR="0023532F" w:rsidRDefault="009B6877">
      <w:pPr>
        <w:numPr>
          <w:ilvl w:val="0"/>
          <w:numId w:val="2"/>
        </w:numPr>
        <w:pBdr>
          <w:top w:val="nil"/>
          <w:left w:val="nil"/>
          <w:bottom w:val="nil"/>
          <w:right w:val="nil"/>
          <w:between w:val="nil"/>
        </w:pBdr>
        <w:spacing w:after="240"/>
        <w:rPr>
          <w:rFonts w:ascii="Cambria" w:eastAsia="Cambria" w:hAnsi="Cambria" w:cs="Cambria"/>
          <w:color w:val="1B1C1D"/>
          <w:sz w:val="22"/>
          <w:szCs w:val="22"/>
        </w:rPr>
      </w:pPr>
      <w:r>
        <w:rPr>
          <w:rFonts w:ascii="Cambria" w:eastAsia="Cambria" w:hAnsi="Cambria" w:cs="Cambria"/>
          <w:color w:val="1B1C1D"/>
          <w:sz w:val="22"/>
          <w:szCs w:val="22"/>
        </w:rPr>
        <w:t>This undermines the effectiveness of cigarette taxes, as smokers can easily switch to the cheaper, untaxed alternative.</w:t>
      </w:r>
    </w:p>
    <w:p w14:paraId="54221BA4" w14:textId="77777777" w:rsidR="0023532F" w:rsidRDefault="009B6877">
      <w:pPr>
        <w:spacing w:after="240"/>
        <w:rPr>
          <w:rFonts w:ascii="Cambria" w:eastAsia="Cambria" w:hAnsi="Cambria" w:cs="Cambria"/>
          <w:sz w:val="22"/>
          <w:szCs w:val="22"/>
        </w:rPr>
      </w:pPr>
      <w:r>
        <w:rPr>
          <w:rFonts w:ascii="Cambria" w:eastAsia="Cambria" w:hAnsi="Cambria" w:cs="Cambria"/>
          <w:color w:val="1B1C1D"/>
          <w:sz w:val="22"/>
          <w:szCs w:val="22"/>
        </w:rPr>
        <w:t>To address this, it is recommended that Zambia introduces a tax on loose tobacco by weight, at a rate equivalent to that of factory-made cigarettes. This would close a major loophole, protect youth, and increase revenue.</w:t>
      </w:r>
    </w:p>
    <w:p w14:paraId="3B8B4EC6" w14:textId="77777777" w:rsidR="0023532F" w:rsidRDefault="009B6877">
      <w:pPr>
        <w:pStyle w:val="Heading4"/>
        <w:spacing w:before="0" w:after="120"/>
        <w:rPr>
          <w:rFonts w:ascii="Calibri" w:eastAsia="Calibri" w:hAnsi="Calibri" w:cs="Calibri"/>
          <w:i w:val="0"/>
          <w:color w:val="5769B2"/>
          <w:sz w:val="26"/>
          <w:szCs w:val="26"/>
        </w:rPr>
      </w:pPr>
      <w:r>
        <w:rPr>
          <w:rFonts w:ascii="Calibri" w:eastAsia="Calibri" w:hAnsi="Calibri" w:cs="Calibri"/>
          <w:b/>
          <w:i w:val="0"/>
          <w:color w:val="5769B2"/>
          <w:sz w:val="26"/>
          <w:szCs w:val="26"/>
        </w:rPr>
        <w:t>Digital Tax Stamps</w:t>
      </w:r>
    </w:p>
    <w:p w14:paraId="6A59E6DB" w14:textId="77777777" w:rsidR="0023532F" w:rsidRDefault="009B6877">
      <w:pPr>
        <w:spacing w:after="120"/>
        <w:rPr>
          <w:rFonts w:ascii="Cambria" w:eastAsia="Cambria" w:hAnsi="Cambria" w:cs="Cambria"/>
          <w:sz w:val="22"/>
          <w:szCs w:val="22"/>
        </w:rPr>
      </w:pPr>
      <w:r>
        <w:rPr>
          <w:rFonts w:ascii="Cambria" w:eastAsia="Cambria" w:hAnsi="Cambria" w:cs="Cambria"/>
          <w:color w:val="1B1C1D"/>
          <w:sz w:val="22"/>
          <w:szCs w:val="22"/>
        </w:rPr>
        <w:t>Implementing a modern, secure digital tax stamp system is critical for effective tobacco tax administration and for combating illicit trade.</w:t>
      </w:r>
    </w:p>
    <w:p w14:paraId="15FA531A" w14:textId="77777777" w:rsidR="0023532F" w:rsidRDefault="009B6877">
      <w:pPr>
        <w:numPr>
          <w:ilvl w:val="0"/>
          <w:numId w:val="5"/>
        </w:numPr>
        <w:pBdr>
          <w:top w:val="nil"/>
          <w:left w:val="nil"/>
          <w:bottom w:val="nil"/>
          <w:right w:val="nil"/>
          <w:between w:val="nil"/>
        </w:pBdr>
        <w:spacing w:before="240" w:after="0"/>
        <w:rPr>
          <w:rFonts w:ascii="Cambria" w:eastAsia="Cambria" w:hAnsi="Cambria" w:cs="Cambria"/>
          <w:color w:val="1B1C1D"/>
          <w:sz w:val="22"/>
          <w:szCs w:val="22"/>
        </w:rPr>
      </w:pPr>
      <w:r>
        <w:rPr>
          <w:rFonts w:ascii="Cambria" w:eastAsia="Cambria" w:hAnsi="Cambria" w:cs="Cambria"/>
          <w:b/>
          <w:color w:val="1B1C1D"/>
          <w:sz w:val="22"/>
          <w:szCs w:val="22"/>
        </w:rPr>
        <w:t>Current System:</w:t>
      </w:r>
      <w:r>
        <w:rPr>
          <w:rFonts w:ascii="Cambria" w:eastAsia="Cambria" w:hAnsi="Cambria" w:cs="Cambria"/>
          <w:color w:val="1B1C1D"/>
          <w:sz w:val="22"/>
          <w:szCs w:val="22"/>
        </w:rPr>
        <w:t xml:space="preserve"> Zambia's current tax stamp system is outdated and lacks essential security features, making it vulnerable to counterfeiting and smuggling.</w:t>
      </w:r>
    </w:p>
    <w:p w14:paraId="3F52C35E" w14:textId="77777777" w:rsidR="0023532F" w:rsidRDefault="009B6877">
      <w:pPr>
        <w:numPr>
          <w:ilvl w:val="0"/>
          <w:numId w:val="5"/>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b/>
          <w:color w:val="1B1C1D"/>
          <w:sz w:val="22"/>
          <w:szCs w:val="22"/>
        </w:rPr>
        <w:t>The Solution:</w:t>
      </w:r>
      <w:r>
        <w:rPr>
          <w:rFonts w:ascii="Cambria" w:eastAsia="Cambria" w:hAnsi="Cambria" w:cs="Cambria"/>
          <w:color w:val="1B1C1D"/>
          <w:sz w:val="22"/>
          <w:szCs w:val="22"/>
        </w:rPr>
        <w:t xml:space="preserve"> A digital tax stamp system, compliant with ISO 22382 standards, would provide real-time tracking and tracing of tobacco products throughout the supply chain. This would significantly reduce illicit trade and increase tax revenue.</w:t>
      </w:r>
    </w:p>
    <w:p w14:paraId="651DCC75" w14:textId="77777777" w:rsidR="0023532F" w:rsidRDefault="009B6877">
      <w:pPr>
        <w:numPr>
          <w:ilvl w:val="0"/>
          <w:numId w:val="5"/>
        </w:numPr>
        <w:pBdr>
          <w:top w:val="nil"/>
          <w:left w:val="nil"/>
          <w:bottom w:val="nil"/>
          <w:right w:val="nil"/>
          <w:between w:val="nil"/>
        </w:pBdr>
        <w:spacing w:after="240"/>
        <w:rPr>
          <w:rFonts w:ascii="Cambria" w:eastAsia="Cambria" w:hAnsi="Cambria" w:cs="Cambria"/>
          <w:color w:val="1B1C1D"/>
          <w:sz w:val="22"/>
          <w:szCs w:val="22"/>
        </w:rPr>
      </w:pPr>
      <w:r>
        <w:rPr>
          <w:rFonts w:ascii="Cambria" w:eastAsia="Cambria" w:hAnsi="Cambria" w:cs="Cambria"/>
          <w:b/>
          <w:color w:val="1B1C1D"/>
          <w:sz w:val="22"/>
          <w:szCs w:val="22"/>
        </w:rPr>
        <w:t>Country Experiences:</w:t>
      </w:r>
      <w:r>
        <w:rPr>
          <w:rFonts w:ascii="Cambria" w:eastAsia="Cambria" w:hAnsi="Cambria" w:cs="Cambria"/>
          <w:color w:val="1B1C1D"/>
          <w:sz w:val="22"/>
          <w:szCs w:val="22"/>
        </w:rPr>
        <w:t xml:space="preserve"> Kenya and Tanzania have successfully implemented digital tax stamp systems, leading to substantial increases in revenue and reductions in illicit trade. These systems are typically funded by the industry at no direct cost to the government. The Zambia Revenue Authority has announced its intention to implement a Digital Tax Stamp solution, but this has been met with some resistance from manufacturers.</w:t>
      </w:r>
    </w:p>
    <w:p w14:paraId="43398024" w14:textId="77777777" w:rsidR="0023532F" w:rsidRDefault="009B6877">
      <w:pPr>
        <w:spacing w:before="240" w:after="240"/>
        <w:rPr>
          <w:rFonts w:ascii="Cambria" w:eastAsia="Cambria" w:hAnsi="Cambria" w:cs="Cambria"/>
          <w:color w:val="1B1C1D"/>
          <w:sz w:val="22"/>
          <w:szCs w:val="22"/>
        </w:rPr>
      </w:pPr>
      <w:r>
        <w:rPr>
          <w:rFonts w:ascii="Cambria" w:eastAsia="Cambria" w:hAnsi="Cambria" w:cs="Cambria"/>
          <w:color w:val="1B1C1D"/>
          <w:sz w:val="22"/>
          <w:szCs w:val="22"/>
        </w:rPr>
        <w:lastRenderedPageBreak/>
        <w:t xml:space="preserve">The digital tax stamps would </w:t>
      </w:r>
      <w:r>
        <w:rPr>
          <w:rFonts w:ascii="Cambria" w:eastAsia="Cambria" w:hAnsi="Cambria" w:cs="Cambria"/>
          <w:sz w:val="22"/>
          <w:szCs w:val="22"/>
        </w:rPr>
        <w:t>supplement physical tax stamps, which remain essential, with digital tracking and tracing capabilities.</w:t>
      </w:r>
    </w:p>
    <w:p w14:paraId="0FF5C48A" w14:textId="77777777" w:rsidR="0023532F" w:rsidRDefault="0023532F">
      <w:pPr>
        <w:spacing w:before="240" w:after="240"/>
        <w:rPr>
          <w:rFonts w:ascii="Cambria" w:eastAsia="Cambria" w:hAnsi="Cambria" w:cs="Cambria"/>
          <w:sz w:val="22"/>
          <w:szCs w:val="22"/>
        </w:rPr>
      </w:pPr>
    </w:p>
    <w:p w14:paraId="6281A557" w14:textId="77777777" w:rsidR="0023532F" w:rsidRDefault="009B6877">
      <w:pPr>
        <w:pStyle w:val="Heading4"/>
        <w:spacing w:before="0" w:after="120"/>
        <w:rPr>
          <w:rFonts w:ascii="Calibri" w:eastAsia="Calibri" w:hAnsi="Calibri" w:cs="Calibri"/>
          <w:b/>
          <w:i w:val="0"/>
          <w:color w:val="5769B2"/>
          <w:sz w:val="26"/>
          <w:szCs w:val="26"/>
        </w:rPr>
      </w:pPr>
      <w:r>
        <w:rPr>
          <w:rFonts w:ascii="Calibri" w:eastAsia="Calibri" w:hAnsi="Calibri" w:cs="Calibri"/>
          <w:b/>
          <w:i w:val="0"/>
          <w:color w:val="5769B2"/>
          <w:sz w:val="26"/>
          <w:szCs w:val="26"/>
        </w:rPr>
        <w:t>Opportunities for (further) Policy Reform</w:t>
      </w:r>
    </w:p>
    <w:p w14:paraId="22B0F830" w14:textId="77777777" w:rsidR="0023532F" w:rsidRDefault="009B6877">
      <w:pPr>
        <w:numPr>
          <w:ilvl w:val="0"/>
          <w:numId w:val="1"/>
        </w:numPr>
        <w:pBdr>
          <w:top w:val="nil"/>
          <w:left w:val="nil"/>
          <w:bottom w:val="nil"/>
          <w:right w:val="nil"/>
          <w:between w:val="nil"/>
        </w:pBdr>
        <w:spacing w:before="240" w:after="0"/>
        <w:rPr>
          <w:rFonts w:ascii="Cambria" w:eastAsia="Cambria" w:hAnsi="Cambria" w:cs="Cambria"/>
          <w:color w:val="1B1C1D"/>
          <w:sz w:val="22"/>
          <w:szCs w:val="22"/>
        </w:rPr>
      </w:pPr>
      <w:r>
        <w:rPr>
          <w:rFonts w:ascii="Cambria" w:eastAsia="Cambria" w:hAnsi="Cambria" w:cs="Cambria"/>
          <w:b/>
          <w:color w:val="1B1C1D"/>
          <w:sz w:val="22"/>
          <w:szCs w:val="22"/>
        </w:rPr>
        <w:t>Tax Reform:</w:t>
      </w:r>
      <w:r>
        <w:rPr>
          <w:rFonts w:ascii="Cambria" w:eastAsia="Cambria" w:hAnsi="Cambria" w:cs="Cambria"/>
          <w:color w:val="1B1C1D"/>
          <w:sz w:val="22"/>
          <w:szCs w:val="22"/>
        </w:rPr>
        <w:t xml:space="preserve"> Implement a uniform specific excise tax on all cigarettes, eliminating the preferential rate for domestic products, and introduce an equivalent tax on loose-leaf tobacco.</w:t>
      </w:r>
    </w:p>
    <w:p w14:paraId="7A2E0D65" w14:textId="77777777" w:rsidR="0023532F" w:rsidRDefault="009B6877">
      <w:pPr>
        <w:numPr>
          <w:ilvl w:val="0"/>
          <w:numId w:val="1"/>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b/>
          <w:color w:val="1B1C1D"/>
          <w:sz w:val="22"/>
          <w:szCs w:val="22"/>
        </w:rPr>
        <w:t>Increase Taxes:</w:t>
      </w:r>
      <w:r>
        <w:rPr>
          <w:rFonts w:ascii="Cambria" w:eastAsia="Cambria" w:hAnsi="Cambria" w:cs="Cambria"/>
          <w:color w:val="1B1C1D"/>
          <w:sz w:val="22"/>
          <w:szCs w:val="22"/>
        </w:rPr>
        <w:t xml:space="preserve"> Gradually increase tobacco taxes to meet the WHO-recommended benchmark of at least 70% of the retail price being excise tax.</w:t>
      </w:r>
    </w:p>
    <w:p w14:paraId="53C4D23A" w14:textId="77777777" w:rsidR="0023532F" w:rsidRDefault="009B6877">
      <w:pPr>
        <w:numPr>
          <w:ilvl w:val="0"/>
          <w:numId w:val="1"/>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b/>
          <w:color w:val="1B1C1D"/>
          <w:sz w:val="22"/>
          <w:szCs w:val="22"/>
        </w:rPr>
        <w:t>Digital Tax Stamps:</w:t>
      </w:r>
      <w:r>
        <w:rPr>
          <w:rFonts w:ascii="Cambria" w:eastAsia="Cambria" w:hAnsi="Cambria" w:cs="Cambria"/>
          <w:color w:val="1B1C1D"/>
          <w:sz w:val="22"/>
          <w:szCs w:val="22"/>
        </w:rPr>
        <w:t xml:space="preserve"> Immediately begin the procurement process for an independent, ISO-compliant digital tax stamp system.</w:t>
      </w:r>
    </w:p>
    <w:p w14:paraId="40C1E2B2" w14:textId="77777777" w:rsidR="0023532F" w:rsidRDefault="009B6877">
      <w:pPr>
        <w:numPr>
          <w:ilvl w:val="0"/>
          <w:numId w:val="1"/>
        </w:numPr>
        <w:pBdr>
          <w:top w:val="nil"/>
          <w:left w:val="nil"/>
          <w:bottom w:val="nil"/>
          <w:right w:val="nil"/>
          <w:between w:val="nil"/>
        </w:pBdr>
        <w:spacing w:after="0"/>
        <w:rPr>
          <w:rFonts w:ascii="Cambria" w:eastAsia="Cambria" w:hAnsi="Cambria" w:cs="Cambria"/>
          <w:color w:val="1B1C1D"/>
          <w:sz w:val="22"/>
          <w:szCs w:val="22"/>
        </w:rPr>
      </w:pPr>
      <w:r>
        <w:rPr>
          <w:rFonts w:ascii="Cambria" w:eastAsia="Cambria" w:hAnsi="Cambria" w:cs="Cambria"/>
          <w:b/>
          <w:color w:val="1B1C1D"/>
          <w:sz w:val="22"/>
          <w:szCs w:val="22"/>
        </w:rPr>
        <w:t>Close SEZ Loopholes:</w:t>
      </w:r>
      <w:r>
        <w:rPr>
          <w:rFonts w:ascii="Cambria" w:eastAsia="Cambria" w:hAnsi="Cambria" w:cs="Cambria"/>
          <w:color w:val="1B1C1D"/>
          <w:sz w:val="22"/>
          <w:szCs w:val="22"/>
        </w:rPr>
        <w:t xml:space="preserve"> Review and amend SEZ regulations to ensure tobacco companies are not benefiting from tax incentives that undermine public health.</w:t>
      </w:r>
    </w:p>
    <w:p w14:paraId="6922A885" w14:textId="77777777" w:rsidR="0023532F" w:rsidRDefault="009B6877">
      <w:pPr>
        <w:numPr>
          <w:ilvl w:val="0"/>
          <w:numId w:val="1"/>
        </w:numPr>
        <w:pBdr>
          <w:top w:val="nil"/>
          <w:left w:val="nil"/>
          <w:bottom w:val="nil"/>
          <w:right w:val="nil"/>
          <w:between w:val="nil"/>
        </w:pBdr>
        <w:spacing w:after="240"/>
        <w:rPr>
          <w:rFonts w:ascii="Cambria" w:eastAsia="Cambria" w:hAnsi="Cambria" w:cs="Cambria"/>
          <w:color w:val="1B1C1D"/>
          <w:sz w:val="22"/>
          <w:szCs w:val="22"/>
        </w:rPr>
      </w:pPr>
      <w:r>
        <w:rPr>
          <w:rFonts w:ascii="Cambria" w:eastAsia="Cambria" w:hAnsi="Cambria" w:cs="Cambria"/>
          <w:b/>
          <w:color w:val="1B1C1D"/>
          <w:sz w:val="22"/>
          <w:szCs w:val="22"/>
        </w:rPr>
        <w:t>Enact Tobacco Control Bill:</w:t>
      </w:r>
      <w:r>
        <w:rPr>
          <w:rFonts w:ascii="Cambria" w:eastAsia="Cambria" w:hAnsi="Cambria" w:cs="Cambria"/>
          <w:color w:val="1B1C1D"/>
          <w:sz w:val="22"/>
          <w:szCs w:val="22"/>
        </w:rPr>
        <w:t xml:space="preserve"> Pass the long-delayed Tobacco Products and Nicotine Products Control Bill to align Zambian law with the WHO Framework Convention on Tobacco Control.</w:t>
      </w:r>
    </w:p>
    <w:p w14:paraId="71A7D8B2" w14:textId="77777777" w:rsidR="0023532F" w:rsidRDefault="0023532F">
      <w:pPr>
        <w:spacing w:after="0"/>
      </w:pPr>
    </w:p>
    <w:p w14:paraId="4F311176" w14:textId="77777777" w:rsidR="0023532F" w:rsidRDefault="009B6877">
      <w:pPr>
        <w:pStyle w:val="Heading4"/>
        <w:spacing w:before="0" w:after="120"/>
        <w:rPr>
          <w:rFonts w:ascii="Calibri" w:eastAsia="Calibri" w:hAnsi="Calibri" w:cs="Calibri"/>
          <w:i w:val="0"/>
          <w:color w:val="5769B2"/>
          <w:sz w:val="26"/>
          <w:szCs w:val="26"/>
        </w:rPr>
      </w:pPr>
      <w:r>
        <w:rPr>
          <w:rFonts w:ascii="Calibri" w:eastAsia="Calibri" w:hAnsi="Calibri" w:cs="Calibri"/>
          <w:b/>
          <w:i w:val="0"/>
          <w:color w:val="5769B2"/>
          <w:sz w:val="26"/>
          <w:szCs w:val="26"/>
        </w:rPr>
        <w:t>References</w:t>
      </w:r>
    </w:p>
    <w:p w14:paraId="2877ABD1" w14:textId="77777777" w:rsidR="0023532F" w:rsidRDefault="009B6877">
      <w:pPr>
        <w:numPr>
          <w:ilvl w:val="0"/>
          <w:numId w:val="6"/>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 xml:space="preserve">British American Tobacco - Lusaka South Multi Facility Economic Zone (LSMFEZ). (n.d.). Retrieved from </w:t>
      </w:r>
      <w:hyperlink r:id="rId10">
        <w:r>
          <w:rPr>
            <w:rFonts w:ascii="Cambria" w:eastAsia="Cambria" w:hAnsi="Cambria" w:cs="Cambria"/>
            <w:color w:val="467886"/>
            <w:sz w:val="20"/>
            <w:szCs w:val="20"/>
            <w:u w:val="single"/>
          </w:rPr>
          <w:t>https://www.lsmfez.co.zm/gallery/british-american-tobacco/</w:t>
        </w:r>
      </w:hyperlink>
    </w:p>
    <w:p w14:paraId="12074380" w14:textId="77777777" w:rsidR="0023532F" w:rsidRDefault="009B6877">
      <w:pPr>
        <w:numPr>
          <w:ilvl w:val="0"/>
          <w:numId w:val="6"/>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 xml:space="preserve">Zambia Revenue Authority. (2024). ZAMBIA REVENUE AUTHORITY PRACTICE NOTE NO. 1/2024. Retrieved from </w:t>
      </w:r>
      <w:hyperlink r:id="rId11">
        <w:r>
          <w:rPr>
            <w:rFonts w:ascii="Cambria" w:eastAsia="Cambria" w:hAnsi="Cambria" w:cs="Cambria"/>
            <w:color w:val="467886"/>
            <w:sz w:val="20"/>
            <w:szCs w:val="20"/>
            <w:u w:val="single"/>
          </w:rPr>
          <w:t>https://www.zra.org.zm/wp-content/uploads/2024/02/2024-Practice-Note.pdf</w:t>
        </w:r>
      </w:hyperlink>
    </w:p>
    <w:p w14:paraId="3BB53F6C" w14:textId="77777777" w:rsidR="0023532F" w:rsidRDefault="009B6877">
      <w:pPr>
        <w:numPr>
          <w:ilvl w:val="0"/>
          <w:numId w:val="6"/>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 xml:space="preserve">SARS. (2018). Brochure on the Special Economic Zone Tax Incentive. Retrieved from </w:t>
      </w:r>
      <w:hyperlink r:id="rId12">
        <w:r>
          <w:rPr>
            <w:rFonts w:ascii="Cambria" w:eastAsia="Cambria" w:hAnsi="Cambria" w:cs="Cambria"/>
            <w:color w:val="467886"/>
            <w:sz w:val="20"/>
            <w:szCs w:val="20"/>
            <w:u w:val="single"/>
          </w:rPr>
          <w:t>https://www.sars.gov.za/wp-content/uploads/Ops/Brochure/LAPD-IT-G28a-Brochure-on-the-Special-Economic-Zone-Tax-Incentive.pdf</w:t>
        </w:r>
      </w:hyperlink>
    </w:p>
    <w:p w14:paraId="334ED55F" w14:textId="77777777" w:rsidR="0023532F" w:rsidRDefault="009B6877">
      <w:pPr>
        <w:numPr>
          <w:ilvl w:val="0"/>
          <w:numId w:val="6"/>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 xml:space="preserve">The DTIC. (n.d.). Special Economic Zones Tax Incentive Guide. Retrieved from </w:t>
      </w:r>
      <w:hyperlink r:id="rId13">
        <w:r>
          <w:rPr>
            <w:rFonts w:ascii="Cambria" w:eastAsia="Cambria" w:hAnsi="Cambria" w:cs="Cambria"/>
            <w:color w:val="467886"/>
            <w:sz w:val="20"/>
            <w:szCs w:val="20"/>
            <w:u w:val="single"/>
          </w:rPr>
          <w:t>https://www.thedtic.gov.za/wp-content/uploads/SEZ_Guide.pdf</w:t>
        </w:r>
      </w:hyperlink>
    </w:p>
    <w:p w14:paraId="725C6DC2" w14:textId="77777777" w:rsidR="0023532F" w:rsidRDefault="009B6877">
      <w:pPr>
        <w:numPr>
          <w:ilvl w:val="0"/>
          <w:numId w:val="6"/>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Stoklosa, M., et al. (2018). Price, tax and tobacco product substitution in Zambia: findings from the ITC Zambia Surveys. Tobacco Control, 28(</w:t>
      </w:r>
      <w:proofErr w:type="spellStart"/>
      <w:r>
        <w:rPr>
          <w:rFonts w:ascii="Cambria" w:eastAsia="Cambria" w:hAnsi="Cambria" w:cs="Cambria"/>
          <w:color w:val="000000"/>
          <w:sz w:val="20"/>
          <w:szCs w:val="20"/>
        </w:rPr>
        <w:t>Suppl</w:t>
      </w:r>
      <w:proofErr w:type="spellEnd"/>
      <w:r>
        <w:rPr>
          <w:rFonts w:ascii="Cambria" w:eastAsia="Cambria" w:hAnsi="Cambria" w:cs="Cambria"/>
          <w:color w:val="000000"/>
          <w:sz w:val="20"/>
          <w:szCs w:val="20"/>
        </w:rPr>
        <w:t xml:space="preserve"> 1), s31–s37. </w:t>
      </w:r>
      <w:hyperlink r:id="rId14">
        <w:r>
          <w:rPr>
            <w:rFonts w:ascii="Cambria" w:eastAsia="Cambria" w:hAnsi="Cambria" w:cs="Cambria"/>
            <w:color w:val="467886"/>
            <w:sz w:val="20"/>
            <w:szCs w:val="20"/>
            <w:u w:val="single"/>
          </w:rPr>
          <w:t>https://doi.org/10.1136/tobaccocontrol-2017-054037</w:t>
        </w:r>
      </w:hyperlink>
    </w:p>
    <w:p w14:paraId="5EEB99EB" w14:textId="77777777" w:rsidR="0023532F" w:rsidRDefault="009B6877">
      <w:pPr>
        <w:numPr>
          <w:ilvl w:val="0"/>
          <w:numId w:val="6"/>
        </w:numPr>
        <w:pBdr>
          <w:top w:val="nil"/>
          <w:left w:val="nil"/>
          <w:bottom w:val="nil"/>
          <w:right w:val="nil"/>
          <w:between w:val="nil"/>
        </w:pBdr>
        <w:spacing w:after="0"/>
        <w:rPr>
          <w:rFonts w:ascii="Cambria" w:eastAsia="Cambria" w:hAnsi="Cambria" w:cs="Cambria"/>
          <w:color w:val="000000"/>
          <w:sz w:val="20"/>
          <w:szCs w:val="20"/>
        </w:rPr>
      </w:pPr>
      <w:r>
        <w:rPr>
          <w:rFonts w:ascii="Cambria" w:eastAsia="Cambria" w:hAnsi="Cambria" w:cs="Cambria"/>
          <w:color w:val="000000"/>
          <w:sz w:val="20"/>
          <w:szCs w:val="20"/>
        </w:rPr>
        <w:t xml:space="preserve">Zambian Breweries. (n.d.). DIGITAL TAX STAMPS. Retrieved from </w:t>
      </w:r>
      <w:hyperlink r:id="rId15">
        <w:r>
          <w:rPr>
            <w:rFonts w:ascii="Cambria" w:eastAsia="Cambria" w:hAnsi="Cambria" w:cs="Cambria"/>
            <w:color w:val="467886"/>
            <w:sz w:val="20"/>
            <w:szCs w:val="20"/>
            <w:u w:val="single"/>
          </w:rPr>
          <w:t>https://www.zambianbreweriesplc.com/tag/digital-tax-stamps/</w:t>
        </w:r>
      </w:hyperlink>
    </w:p>
    <w:p w14:paraId="0F7CC2B0" w14:textId="77777777" w:rsidR="0023532F" w:rsidRDefault="009B6877">
      <w:pPr>
        <w:numPr>
          <w:ilvl w:val="0"/>
          <w:numId w:val="6"/>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Zambia Association of Manufacturers. (2020, September 8). Digital Tax Stamps: Through the Lens of the Manufacturers. Retrieved from </w:t>
      </w:r>
      <w:hyperlink r:id="rId16">
        <w:r>
          <w:rPr>
            <w:rFonts w:ascii="Cambria" w:eastAsia="Cambria" w:hAnsi="Cambria" w:cs="Cambria"/>
            <w:color w:val="467886"/>
            <w:sz w:val="20"/>
            <w:szCs w:val="20"/>
            <w:u w:val="single"/>
          </w:rPr>
          <w:t>http://zam.co.zm/digital-tax-stamps-through-the-lens-of-the-manufacturers/</w:t>
        </w:r>
      </w:hyperlink>
    </w:p>
    <w:p w14:paraId="40458625" w14:textId="77777777" w:rsidR="0023532F" w:rsidRDefault="0023532F">
      <w:pPr>
        <w:ind w:left="720"/>
        <w:rPr>
          <w:rFonts w:ascii="Cambria" w:eastAsia="Cambria" w:hAnsi="Cambria" w:cs="Cambria"/>
          <w:sz w:val="20"/>
          <w:szCs w:val="20"/>
        </w:rPr>
      </w:pPr>
    </w:p>
    <w:sectPr w:rsidR="0023532F">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FFE0193-D75F-4D93-8D70-3A11FB6F5CA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D474A67-E2A3-4556-BA4E-A3D808F94574}"/>
    <w:embedBold r:id="rId3" w:fontKey="{C78160CD-BE4D-48CB-AEEA-D31097E70CC6}"/>
    <w:embedItalic r:id="rId4" w:fontKey="{E2ECB392-AF9F-4150-A9C5-66562EAEEF5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8AC2548-79C3-40DF-B0FC-5A944456787E}"/>
    <w:embedItalic r:id="rId6" w:fontKey="{ED9536A7-5442-463B-A0D9-91ABC87DC4B1}"/>
  </w:font>
  <w:font w:name="Cambria">
    <w:panose1 w:val="02040503050406030204"/>
    <w:charset w:val="00"/>
    <w:family w:val="roman"/>
    <w:pitch w:val="variable"/>
    <w:sig w:usb0="E00006FF" w:usb1="420024FF" w:usb2="02000000" w:usb3="00000000" w:csb0="0000019F" w:csb1="00000000"/>
    <w:embedRegular r:id="rId7" w:fontKey="{C21C9720-6CB4-4179-B35C-DD12AA8359A8}"/>
    <w:embedBold r:id="rId8" w:fontKey="{0E6329BB-DCE2-4445-8F9C-6963F51706C8}"/>
    <w:embedItalic r:id="rId9" w:fontKey="{59AB8999-931E-4352-987A-0C007EF160EE}"/>
  </w:font>
  <w:font w:name="Calibri">
    <w:panose1 w:val="020F0502020204030204"/>
    <w:charset w:val="00"/>
    <w:family w:val="swiss"/>
    <w:pitch w:val="variable"/>
    <w:sig w:usb0="E4002EFF" w:usb1="C200247B" w:usb2="00000009" w:usb3="00000000" w:csb0="000001FF" w:csb1="00000000"/>
    <w:embedRegular r:id="rId10" w:fontKey="{7615DDD0-AD4C-47AB-BCEE-0814BC3B9A25}"/>
    <w:embedBold r:id="rId11" w:fontKey="{5CD4AE89-C5AF-4C04-BFE7-4978C6C238A4}"/>
  </w:font>
  <w:font w:name="Aptos Display">
    <w:charset w:val="00"/>
    <w:family w:val="swiss"/>
    <w:pitch w:val="variable"/>
    <w:sig w:usb0="20000287" w:usb1="00000003" w:usb2="00000000" w:usb3="00000000" w:csb0="0000019F" w:csb1="00000000"/>
    <w:embedRegular r:id="rId12" w:fontKey="{989427D2-333B-48BF-A084-D0ABA348E7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40947"/>
    <w:multiLevelType w:val="multilevel"/>
    <w:tmpl w:val="5930F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9767A7"/>
    <w:multiLevelType w:val="multilevel"/>
    <w:tmpl w:val="85D6E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5237D6"/>
    <w:multiLevelType w:val="multilevel"/>
    <w:tmpl w:val="97922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C93D4F"/>
    <w:multiLevelType w:val="multilevel"/>
    <w:tmpl w:val="8CE22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577E6A"/>
    <w:multiLevelType w:val="multilevel"/>
    <w:tmpl w:val="14C05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BC0FE2"/>
    <w:multiLevelType w:val="multilevel"/>
    <w:tmpl w:val="F1443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6057199">
    <w:abstractNumId w:val="4"/>
  </w:num>
  <w:num w:numId="2" w16cid:durableId="22559343">
    <w:abstractNumId w:val="0"/>
  </w:num>
  <w:num w:numId="3" w16cid:durableId="1915386965">
    <w:abstractNumId w:val="5"/>
  </w:num>
  <w:num w:numId="4" w16cid:durableId="1503668047">
    <w:abstractNumId w:val="1"/>
  </w:num>
  <w:num w:numId="5" w16cid:durableId="1384133600">
    <w:abstractNumId w:val="3"/>
  </w:num>
  <w:num w:numId="6" w16cid:durableId="1201167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32F"/>
    <w:rsid w:val="001A069C"/>
    <w:rsid w:val="0023532F"/>
    <w:rsid w:val="009B6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B2BD7"/>
  <w15:docId w15:val="{88B9DCF5-4F46-4E15-AC19-BFF99DBE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AU"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7CEEB9CE"/>
    <w:pPr>
      <w:ind w:left="720"/>
      <w:contextualSpacing/>
    </w:pPr>
  </w:style>
  <w:style w:type="character" w:styleId="Hyperlink">
    <w:name w:val="Hyperlink"/>
    <w:basedOn w:val="DefaultParagraphFont"/>
    <w:uiPriority w:val="99"/>
    <w:unhideWhenUsed/>
    <w:rsid w:val="7CEEB9CE"/>
    <w:rPr>
      <w:color w:val="467886"/>
      <w:u w:val="single"/>
    </w:rPr>
  </w:style>
  <w:style w:type="paragraph" w:styleId="Revision">
    <w:name w:val="Revision"/>
    <w:hidden/>
    <w:uiPriority w:val="99"/>
    <w:semiHidden/>
    <w:rsid w:val="001E5697"/>
    <w:pPr>
      <w:spacing w:after="0" w:line="240" w:lineRule="auto"/>
    </w:pPr>
  </w:style>
  <w:style w:type="character" w:styleId="CommentReference">
    <w:name w:val="annotation reference"/>
    <w:basedOn w:val="DefaultParagraphFont"/>
    <w:uiPriority w:val="99"/>
    <w:semiHidden/>
    <w:unhideWhenUsed/>
    <w:rsid w:val="00227E64"/>
    <w:rPr>
      <w:sz w:val="16"/>
      <w:szCs w:val="16"/>
    </w:rPr>
  </w:style>
  <w:style w:type="paragraph" w:styleId="CommentText">
    <w:name w:val="annotation text"/>
    <w:basedOn w:val="Normal"/>
    <w:link w:val="CommentTextChar"/>
    <w:uiPriority w:val="99"/>
    <w:semiHidden/>
    <w:unhideWhenUsed/>
    <w:rsid w:val="00227E64"/>
    <w:pPr>
      <w:spacing w:line="240" w:lineRule="auto"/>
    </w:pPr>
    <w:rPr>
      <w:sz w:val="20"/>
      <w:szCs w:val="20"/>
    </w:rPr>
  </w:style>
  <w:style w:type="character" w:customStyle="1" w:styleId="CommentTextChar">
    <w:name w:val="Comment Text Char"/>
    <w:basedOn w:val="DefaultParagraphFont"/>
    <w:link w:val="CommentText"/>
    <w:uiPriority w:val="99"/>
    <w:semiHidden/>
    <w:rsid w:val="00227E64"/>
    <w:rPr>
      <w:sz w:val="20"/>
      <w:szCs w:val="20"/>
    </w:rPr>
  </w:style>
  <w:style w:type="paragraph" w:styleId="CommentSubject">
    <w:name w:val="annotation subject"/>
    <w:basedOn w:val="CommentText"/>
    <w:next w:val="CommentText"/>
    <w:link w:val="CommentSubjectChar"/>
    <w:uiPriority w:val="99"/>
    <w:semiHidden/>
    <w:unhideWhenUsed/>
    <w:rsid w:val="00227E64"/>
    <w:rPr>
      <w:b/>
      <w:bCs/>
    </w:rPr>
  </w:style>
  <w:style w:type="character" w:customStyle="1" w:styleId="CommentSubjectChar">
    <w:name w:val="Comment Subject Char"/>
    <w:basedOn w:val="CommentTextChar"/>
    <w:link w:val="CommentSubject"/>
    <w:uiPriority w:val="99"/>
    <w:semiHidden/>
    <w:rsid w:val="00227E64"/>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hedtic.gov.za/wp-content/uploads/SEZ_Guide.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sars.gov.za/wp-content/uploads/Ops/Brochure/LAPD-IT-G28a-Brochure-on-the-Special-Economic-Zone-Tax-Incentiv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am.co.zm/digital-tax-stamps-through-the-lens-of-the-manufacturer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zra.org.zm/wp-content/uploads/2024/02/2024-Practice-Note.pdf" TargetMode="External"/><Relationship Id="rId5" Type="http://schemas.openxmlformats.org/officeDocument/2006/relationships/webSettings" Target="webSettings.xml"/><Relationship Id="rId15" Type="http://schemas.openxmlformats.org/officeDocument/2006/relationships/hyperlink" Target="https://www.zambianbreweriesplc.com/tag/digital-tax-stamps/" TargetMode="External"/><Relationship Id="rId10" Type="http://schemas.openxmlformats.org/officeDocument/2006/relationships/hyperlink" Target="https://www.lsmfez.co.zm/gallery/british-american-tobacc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ogle.com/search?q=https://doi.org/10.1136/tobaccocontrol-2017-05403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FGfCNnF2rd0X//t7CzO7QCHFw==">CgMxLjA4AHIhMVY3ck14R2ZielJ6R2FGeXJZeEJtV2dSUmdRamdKdm8t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1159</Words>
  <Characters>6609</Characters>
  <Application>Microsoft Office Word</Application>
  <DocSecurity>0</DocSecurity>
  <Lines>55</Lines>
  <Paragraphs>15</Paragraphs>
  <ScaleCrop>false</ScaleCrop>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Vinayak Bhardwaj</dc:creator>
  <cp:lastModifiedBy>Paxina Phiri</cp:lastModifiedBy>
  <cp:revision>2</cp:revision>
  <dcterms:created xsi:type="dcterms:W3CDTF">2025-09-09T08:00:00Z</dcterms:created>
  <dcterms:modified xsi:type="dcterms:W3CDTF">2025-09-09T08:00:00Z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2025-08-26T14:20:35Z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8849c8f6-7883-4134-9149-9024b02197ca</vt:lpwstr>
  </property>
  <property fmtid="{D5CDD505-2E9C-101B-9397-08002B2CF9AE}" pid="8" name="MSIP_Label_defa4170-0d19-0005-0004-bc88714345d2_ContentBits">
    <vt:lpwstr>0</vt:lpwstr>
  </property>
  <property fmtid="{D5CDD505-2E9C-101B-9397-08002B2CF9AE}" pid="9" name="MSIP_Label_defa4170-0d19-0005-0004-bc88714345d2_Tag">
    <vt:lpwstr>10, 3, 0, 2</vt:lpwstr>
  </property>
</Properties>
</file>